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54D9" w:rsidRPr="0010038A" w:rsidRDefault="00C354D9" w:rsidP="00A12DF6">
      <w:pPr>
        <w:spacing w:line="480" w:lineRule="auto"/>
        <w:rPr>
          <w:rFonts w:ascii="Times New Roman" w:hAnsi="Times New Roman" w:cs="Times New Roman"/>
          <w:b/>
          <w:sz w:val="24"/>
          <w:szCs w:val="24"/>
        </w:rPr>
      </w:pPr>
      <w:r w:rsidRPr="0010038A">
        <w:rPr>
          <w:rFonts w:ascii="Times New Roman" w:hAnsi="Times New Roman" w:cs="Times New Roman"/>
          <w:b/>
          <w:sz w:val="24"/>
          <w:szCs w:val="24"/>
        </w:rPr>
        <w:t>Discussion Prompt 1</w:t>
      </w:r>
    </w:p>
    <w:p w:rsidR="00C354D9" w:rsidRPr="00A12DF6" w:rsidRDefault="00C354D9" w:rsidP="00A12DF6">
      <w:pPr>
        <w:spacing w:line="480" w:lineRule="auto"/>
        <w:ind w:firstLine="720"/>
        <w:rPr>
          <w:rFonts w:ascii="Times New Roman" w:hAnsi="Times New Roman" w:cs="Times New Roman"/>
          <w:sz w:val="24"/>
          <w:szCs w:val="24"/>
        </w:rPr>
      </w:pPr>
      <w:r w:rsidRPr="00A12DF6">
        <w:rPr>
          <w:rFonts w:ascii="Times New Roman" w:hAnsi="Times New Roman" w:cs="Times New Roman"/>
          <w:sz w:val="24"/>
          <w:szCs w:val="24"/>
        </w:rPr>
        <w:t>For di</w:t>
      </w:r>
      <w:r w:rsidR="0010038A">
        <w:rPr>
          <w:rFonts w:ascii="Times New Roman" w:hAnsi="Times New Roman" w:cs="Times New Roman"/>
          <w:sz w:val="24"/>
          <w:szCs w:val="24"/>
        </w:rPr>
        <w:t>scussion prompt 1, I chose</w:t>
      </w:r>
      <w:bookmarkStart w:id="0" w:name="_GoBack"/>
      <w:bookmarkEnd w:id="0"/>
      <w:r w:rsidRPr="00A12DF6">
        <w:rPr>
          <w:rFonts w:ascii="Times New Roman" w:hAnsi="Times New Roman" w:cs="Times New Roman"/>
          <w:sz w:val="24"/>
          <w:szCs w:val="24"/>
        </w:rPr>
        <w:t xml:space="preserve"> to describe the pathophysiology, clinical manifestations, evaluation, and treatment of metabolic acidosis and metabolic alkalosis. Metabolic acidosis is the too much production of acid by the body and occurs when the kidney fails to release acid from the body. The pathophysiology of metabolic acidosis is that it results in reduced bicarbonate concentration (Kraut &amp; Madias, 2017). Both acute and chronic disorders may result from the disorder as a result of excessive production of acids and acidification of renal. Some of the clinical manifestations include loss of appetite, increased rate of heartbeat, breathing problems, and the patient may seem confused. The evaluation of metabolic acidosis is that it is a result of low levels of bicarbonate plasma and the addition of the serum anion gap. Metabolic acidosis treatment includes X-ray to check whether lungs are infected, bronchodilator medications, and avoiding smoking to reduce respiratory compensation.</w:t>
      </w:r>
    </w:p>
    <w:p w:rsidR="00C354D9" w:rsidRPr="00A12DF6" w:rsidRDefault="00C354D9" w:rsidP="00A12DF6">
      <w:pPr>
        <w:spacing w:line="480" w:lineRule="auto"/>
        <w:ind w:firstLine="720"/>
        <w:rPr>
          <w:rFonts w:ascii="Times New Roman" w:hAnsi="Times New Roman" w:cs="Times New Roman"/>
          <w:sz w:val="24"/>
          <w:szCs w:val="24"/>
        </w:rPr>
      </w:pPr>
      <w:r w:rsidRPr="00A12DF6">
        <w:rPr>
          <w:rFonts w:ascii="Times New Roman" w:hAnsi="Times New Roman" w:cs="Times New Roman"/>
          <w:sz w:val="24"/>
          <w:szCs w:val="24"/>
        </w:rPr>
        <w:t>Metabolic alkalosis occurs when the body's blood becomes alkaline, and its pathophysiology is that it occurs as a result of an increased concentration of serum bicarbonate. The increased concentration of serum bicarbonate is as a result of reduced cases of hydrogen ions. Clinical manifestations of metabolic alkalosis include high levels of confusion, which might result in the death of the patient, muscle spasms which might prolong for a long time, arching of the muscles, and severe vomiting. Metabolic alkalosis is evaluated by measuring electrolytes and blood gases. Brinkman et.al.</w:t>
      </w:r>
      <w:r w:rsidR="00A12DF6" w:rsidRPr="00A12DF6">
        <w:rPr>
          <w:rFonts w:ascii="Times New Roman" w:hAnsi="Times New Roman" w:cs="Times New Roman"/>
          <w:sz w:val="24"/>
          <w:szCs w:val="24"/>
        </w:rPr>
        <w:t xml:space="preserve"> (2018),</w:t>
      </w:r>
      <w:r w:rsidRPr="00A12DF6">
        <w:rPr>
          <w:rFonts w:ascii="Times New Roman" w:hAnsi="Times New Roman" w:cs="Times New Roman"/>
          <w:sz w:val="24"/>
          <w:szCs w:val="24"/>
        </w:rPr>
        <w:t xml:space="preserve"> states that metabolic alkalosis contains low levels of urine chloride concentration. Treatment of metabolic alkalosis may include administering antiemetics to prevent vomiting, reduction of the production of gastric acid with proton-pump inhibitors. Moreover, metabolic alkalosis can be treated by administering Acetazolamide to reduce chronic diseases. Chloride responsive metabolic alkalosis can be treated </w:t>
      </w:r>
      <w:r w:rsidRPr="00A12DF6">
        <w:rPr>
          <w:rFonts w:ascii="Times New Roman" w:hAnsi="Times New Roman" w:cs="Times New Roman"/>
          <w:sz w:val="24"/>
          <w:szCs w:val="24"/>
        </w:rPr>
        <w:lastRenderedPageBreak/>
        <w:t xml:space="preserve">by increasing the consumption of sodium chloride, while chloride resistant alkalosis is treated by increasing the levels of potassium </w:t>
      </w:r>
      <w:r w:rsidR="00A12DF6" w:rsidRPr="00A12DF6">
        <w:rPr>
          <w:rFonts w:ascii="Times New Roman" w:hAnsi="Times New Roman" w:cs="Times New Roman"/>
          <w:sz w:val="24"/>
          <w:szCs w:val="24"/>
        </w:rPr>
        <w:t xml:space="preserve">achieved </w:t>
      </w:r>
      <w:r w:rsidRPr="00A12DF6">
        <w:rPr>
          <w:rFonts w:ascii="Times New Roman" w:hAnsi="Times New Roman" w:cs="Times New Roman"/>
          <w:sz w:val="24"/>
          <w:szCs w:val="24"/>
        </w:rPr>
        <w:t>by getting potassium chloride regularly.</w:t>
      </w:r>
    </w:p>
    <w:p w:rsidR="00A12DF6" w:rsidRDefault="00A12DF6" w:rsidP="00A12DF6">
      <w:pPr>
        <w:spacing w:line="480" w:lineRule="auto"/>
        <w:rPr>
          <w:rFonts w:ascii="Times New Roman" w:hAnsi="Times New Roman" w:cs="Times New Roman"/>
          <w:sz w:val="24"/>
          <w:szCs w:val="24"/>
        </w:rPr>
      </w:pPr>
    </w:p>
    <w:p w:rsidR="00A12DF6" w:rsidRDefault="00A12DF6" w:rsidP="00A12DF6">
      <w:pPr>
        <w:spacing w:line="480" w:lineRule="auto"/>
        <w:rPr>
          <w:rFonts w:ascii="Times New Roman" w:hAnsi="Times New Roman" w:cs="Times New Roman"/>
          <w:sz w:val="24"/>
          <w:szCs w:val="24"/>
        </w:rPr>
      </w:pPr>
    </w:p>
    <w:p w:rsidR="00A12DF6" w:rsidRDefault="00A12DF6" w:rsidP="00A12DF6">
      <w:pPr>
        <w:spacing w:line="480" w:lineRule="auto"/>
        <w:rPr>
          <w:rFonts w:ascii="Times New Roman" w:hAnsi="Times New Roman" w:cs="Times New Roman"/>
          <w:sz w:val="24"/>
          <w:szCs w:val="24"/>
        </w:rPr>
      </w:pPr>
    </w:p>
    <w:p w:rsidR="00A12DF6" w:rsidRDefault="00A12DF6" w:rsidP="00A12DF6">
      <w:pPr>
        <w:spacing w:line="480" w:lineRule="auto"/>
        <w:rPr>
          <w:rFonts w:ascii="Times New Roman" w:hAnsi="Times New Roman" w:cs="Times New Roman"/>
          <w:sz w:val="24"/>
          <w:szCs w:val="24"/>
        </w:rPr>
      </w:pPr>
    </w:p>
    <w:p w:rsidR="00A12DF6" w:rsidRDefault="00A12DF6" w:rsidP="00A12DF6">
      <w:pPr>
        <w:spacing w:line="480" w:lineRule="auto"/>
        <w:rPr>
          <w:rFonts w:ascii="Times New Roman" w:hAnsi="Times New Roman" w:cs="Times New Roman"/>
          <w:sz w:val="24"/>
          <w:szCs w:val="24"/>
        </w:rPr>
      </w:pPr>
    </w:p>
    <w:p w:rsidR="00A12DF6" w:rsidRDefault="00A12DF6" w:rsidP="00A12DF6">
      <w:pPr>
        <w:spacing w:line="480" w:lineRule="auto"/>
        <w:rPr>
          <w:rFonts w:ascii="Times New Roman" w:hAnsi="Times New Roman" w:cs="Times New Roman"/>
          <w:sz w:val="24"/>
          <w:szCs w:val="24"/>
        </w:rPr>
      </w:pPr>
    </w:p>
    <w:p w:rsidR="00A12DF6" w:rsidRDefault="00A12DF6" w:rsidP="00A12DF6">
      <w:pPr>
        <w:spacing w:line="480" w:lineRule="auto"/>
        <w:rPr>
          <w:rFonts w:ascii="Times New Roman" w:hAnsi="Times New Roman" w:cs="Times New Roman"/>
          <w:sz w:val="24"/>
          <w:szCs w:val="24"/>
        </w:rPr>
      </w:pPr>
    </w:p>
    <w:p w:rsidR="00A12DF6" w:rsidRDefault="00A12DF6" w:rsidP="00A12DF6">
      <w:pPr>
        <w:spacing w:line="480" w:lineRule="auto"/>
        <w:rPr>
          <w:rFonts w:ascii="Times New Roman" w:hAnsi="Times New Roman" w:cs="Times New Roman"/>
          <w:sz w:val="24"/>
          <w:szCs w:val="24"/>
        </w:rPr>
      </w:pPr>
    </w:p>
    <w:p w:rsidR="00A12DF6" w:rsidRDefault="00A12DF6" w:rsidP="00A12DF6">
      <w:pPr>
        <w:spacing w:line="480" w:lineRule="auto"/>
        <w:rPr>
          <w:rFonts w:ascii="Times New Roman" w:hAnsi="Times New Roman" w:cs="Times New Roman"/>
          <w:sz w:val="24"/>
          <w:szCs w:val="24"/>
        </w:rPr>
      </w:pPr>
    </w:p>
    <w:p w:rsidR="00A12DF6" w:rsidRDefault="00A12DF6" w:rsidP="00A12DF6">
      <w:pPr>
        <w:spacing w:line="480" w:lineRule="auto"/>
        <w:rPr>
          <w:rFonts w:ascii="Times New Roman" w:hAnsi="Times New Roman" w:cs="Times New Roman"/>
          <w:sz w:val="24"/>
          <w:szCs w:val="24"/>
        </w:rPr>
      </w:pPr>
    </w:p>
    <w:p w:rsidR="00A12DF6" w:rsidRDefault="00A12DF6" w:rsidP="00A12DF6">
      <w:pPr>
        <w:spacing w:line="480" w:lineRule="auto"/>
        <w:rPr>
          <w:rFonts w:ascii="Times New Roman" w:hAnsi="Times New Roman" w:cs="Times New Roman"/>
          <w:sz w:val="24"/>
          <w:szCs w:val="24"/>
        </w:rPr>
      </w:pPr>
    </w:p>
    <w:p w:rsidR="00A12DF6" w:rsidRDefault="00A12DF6" w:rsidP="00A12DF6">
      <w:pPr>
        <w:spacing w:line="480" w:lineRule="auto"/>
        <w:rPr>
          <w:rFonts w:ascii="Times New Roman" w:hAnsi="Times New Roman" w:cs="Times New Roman"/>
          <w:sz w:val="24"/>
          <w:szCs w:val="24"/>
        </w:rPr>
      </w:pPr>
    </w:p>
    <w:p w:rsidR="00A12DF6" w:rsidRDefault="00A12DF6" w:rsidP="00A12DF6">
      <w:pPr>
        <w:spacing w:line="480" w:lineRule="auto"/>
        <w:rPr>
          <w:rFonts w:ascii="Times New Roman" w:hAnsi="Times New Roman" w:cs="Times New Roman"/>
          <w:sz w:val="24"/>
          <w:szCs w:val="24"/>
        </w:rPr>
      </w:pPr>
    </w:p>
    <w:p w:rsidR="00A12DF6" w:rsidRDefault="00A12DF6" w:rsidP="00A12DF6">
      <w:pPr>
        <w:spacing w:line="480" w:lineRule="auto"/>
        <w:rPr>
          <w:rFonts w:ascii="Times New Roman" w:hAnsi="Times New Roman" w:cs="Times New Roman"/>
          <w:sz w:val="24"/>
          <w:szCs w:val="24"/>
        </w:rPr>
      </w:pPr>
    </w:p>
    <w:p w:rsidR="00A12DF6" w:rsidRDefault="00A12DF6" w:rsidP="00A12DF6">
      <w:pPr>
        <w:spacing w:line="480" w:lineRule="auto"/>
        <w:rPr>
          <w:rFonts w:ascii="Times New Roman" w:hAnsi="Times New Roman" w:cs="Times New Roman"/>
          <w:sz w:val="24"/>
          <w:szCs w:val="24"/>
        </w:rPr>
      </w:pPr>
    </w:p>
    <w:p w:rsidR="00A12DF6" w:rsidRDefault="00A12DF6" w:rsidP="00A12DF6">
      <w:pPr>
        <w:spacing w:line="480" w:lineRule="auto"/>
        <w:rPr>
          <w:rFonts w:ascii="Times New Roman" w:hAnsi="Times New Roman" w:cs="Times New Roman"/>
          <w:sz w:val="24"/>
          <w:szCs w:val="24"/>
        </w:rPr>
      </w:pPr>
    </w:p>
    <w:p w:rsidR="00A12DF6" w:rsidRDefault="00A12DF6" w:rsidP="00A12DF6">
      <w:pPr>
        <w:spacing w:line="480" w:lineRule="auto"/>
        <w:rPr>
          <w:rFonts w:ascii="Times New Roman" w:hAnsi="Times New Roman" w:cs="Times New Roman"/>
          <w:sz w:val="24"/>
          <w:szCs w:val="24"/>
        </w:rPr>
      </w:pPr>
    </w:p>
    <w:p w:rsidR="00C354D9" w:rsidRPr="00A12DF6" w:rsidRDefault="00C354D9" w:rsidP="00A12DF6">
      <w:pPr>
        <w:spacing w:line="480" w:lineRule="auto"/>
        <w:jc w:val="center"/>
        <w:rPr>
          <w:rFonts w:ascii="Times New Roman" w:hAnsi="Times New Roman" w:cs="Times New Roman"/>
          <w:sz w:val="24"/>
          <w:szCs w:val="24"/>
        </w:rPr>
      </w:pPr>
      <w:r w:rsidRPr="00A12DF6">
        <w:rPr>
          <w:rFonts w:ascii="Times New Roman" w:hAnsi="Times New Roman" w:cs="Times New Roman"/>
          <w:sz w:val="24"/>
          <w:szCs w:val="24"/>
        </w:rPr>
        <w:lastRenderedPageBreak/>
        <w:t>References</w:t>
      </w:r>
    </w:p>
    <w:p w:rsidR="00A12DF6" w:rsidRPr="00A12DF6" w:rsidRDefault="00A12DF6" w:rsidP="00A12DF6">
      <w:pPr>
        <w:spacing w:line="480" w:lineRule="auto"/>
        <w:ind w:left="720" w:hanging="720"/>
        <w:rPr>
          <w:rFonts w:ascii="Times New Roman" w:hAnsi="Times New Roman" w:cs="Times New Roman"/>
          <w:sz w:val="24"/>
          <w:szCs w:val="24"/>
        </w:rPr>
      </w:pPr>
      <w:r w:rsidRPr="00A12DF6">
        <w:rPr>
          <w:rFonts w:ascii="Times New Roman" w:hAnsi="Times New Roman" w:cs="Times New Roman"/>
          <w:sz w:val="24"/>
          <w:szCs w:val="24"/>
        </w:rPr>
        <w:t xml:space="preserve">Brinkman, J. E., &amp; Sharma, S. (2018). Physiology, Alkalosis, Metabolic. </w:t>
      </w:r>
      <w:proofErr w:type="spellStart"/>
      <w:r w:rsidRPr="00A12DF6">
        <w:rPr>
          <w:rFonts w:ascii="Times New Roman" w:hAnsi="Times New Roman" w:cs="Times New Roman"/>
          <w:sz w:val="24"/>
          <w:szCs w:val="24"/>
        </w:rPr>
        <w:t>Statpearl</w:t>
      </w:r>
      <w:proofErr w:type="spellEnd"/>
      <w:r w:rsidRPr="00A12DF6">
        <w:rPr>
          <w:rFonts w:ascii="Times New Roman" w:hAnsi="Times New Roman" w:cs="Times New Roman"/>
          <w:sz w:val="24"/>
          <w:szCs w:val="24"/>
        </w:rPr>
        <w:t xml:space="preserve"> Publishing, Pub-Med. </w:t>
      </w:r>
      <w:proofErr w:type="spellStart"/>
      <w:r w:rsidRPr="00A12DF6">
        <w:rPr>
          <w:rFonts w:ascii="Times New Roman" w:hAnsi="Times New Roman" w:cs="Times New Roman"/>
          <w:sz w:val="24"/>
          <w:szCs w:val="24"/>
        </w:rPr>
        <w:t>Saatavissa</w:t>
      </w:r>
      <w:proofErr w:type="spellEnd"/>
      <w:r w:rsidRPr="00A12DF6">
        <w:rPr>
          <w:rFonts w:ascii="Times New Roman" w:hAnsi="Times New Roman" w:cs="Times New Roman"/>
          <w:sz w:val="24"/>
          <w:szCs w:val="24"/>
        </w:rPr>
        <w:t xml:space="preserve">: https://www. </w:t>
      </w:r>
      <w:proofErr w:type="spellStart"/>
      <w:proofErr w:type="gramStart"/>
      <w:r w:rsidRPr="00A12DF6">
        <w:rPr>
          <w:rFonts w:ascii="Times New Roman" w:hAnsi="Times New Roman" w:cs="Times New Roman"/>
          <w:sz w:val="24"/>
          <w:szCs w:val="24"/>
        </w:rPr>
        <w:t>ncbi</w:t>
      </w:r>
      <w:proofErr w:type="spellEnd"/>
      <w:proofErr w:type="gramEnd"/>
      <w:r w:rsidRPr="00A12DF6">
        <w:rPr>
          <w:rFonts w:ascii="Times New Roman" w:hAnsi="Times New Roman" w:cs="Times New Roman"/>
          <w:sz w:val="24"/>
          <w:szCs w:val="24"/>
        </w:rPr>
        <w:t xml:space="preserve">. </w:t>
      </w:r>
      <w:proofErr w:type="spellStart"/>
      <w:proofErr w:type="gramStart"/>
      <w:r w:rsidRPr="00A12DF6">
        <w:rPr>
          <w:rFonts w:ascii="Times New Roman" w:hAnsi="Times New Roman" w:cs="Times New Roman"/>
          <w:sz w:val="24"/>
          <w:szCs w:val="24"/>
        </w:rPr>
        <w:t>nlm</w:t>
      </w:r>
      <w:proofErr w:type="spellEnd"/>
      <w:proofErr w:type="gramEnd"/>
      <w:r w:rsidRPr="00A12DF6">
        <w:rPr>
          <w:rFonts w:ascii="Times New Roman" w:hAnsi="Times New Roman" w:cs="Times New Roman"/>
          <w:sz w:val="24"/>
          <w:szCs w:val="24"/>
        </w:rPr>
        <w:t xml:space="preserve">. </w:t>
      </w:r>
      <w:proofErr w:type="spellStart"/>
      <w:proofErr w:type="gramStart"/>
      <w:r w:rsidRPr="00A12DF6">
        <w:rPr>
          <w:rFonts w:ascii="Times New Roman" w:hAnsi="Times New Roman" w:cs="Times New Roman"/>
          <w:sz w:val="24"/>
          <w:szCs w:val="24"/>
        </w:rPr>
        <w:t>nih</w:t>
      </w:r>
      <w:proofErr w:type="spellEnd"/>
      <w:proofErr w:type="gramEnd"/>
      <w:r w:rsidRPr="00A12DF6">
        <w:rPr>
          <w:rFonts w:ascii="Times New Roman" w:hAnsi="Times New Roman" w:cs="Times New Roman"/>
          <w:sz w:val="24"/>
          <w:szCs w:val="24"/>
        </w:rPr>
        <w:t xml:space="preserve">. </w:t>
      </w:r>
      <w:proofErr w:type="spellStart"/>
      <w:proofErr w:type="gramStart"/>
      <w:r w:rsidRPr="00A12DF6">
        <w:rPr>
          <w:rFonts w:ascii="Times New Roman" w:hAnsi="Times New Roman" w:cs="Times New Roman"/>
          <w:sz w:val="24"/>
          <w:szCs w:val="24"/>
        </w:rPr>
        <w:t>gov</w:t>
      </w:r>
      <w:proofErr w:type="spellEnd"/>
      <w:r w:rsidRPr="00A12DF6">
        <w:rPr>
          <w:rFonts w:ascii="Times New Roman" w:hAnsi="Times New Roman" w:cs="Times New Roman"/>
          <w:sz w:val="24"/>
          <w:szCs w:val="24"/>
        </w:rPr>
        <w:t>/books/NBK482291</w:t>
      </w:r>
      <w:proofErr w:type="gramEnd"/>
      <w:r w:rsidRPr="00A12DF6">
        <w:rPr>
          <w:rFonts w:ascii="Times New Roman" w:hAnsi="Times New Roman" w:cs="Times New Roman"/>
          <w:sz w:val="24"/>
          <w:szCs w:val="24"/>
        </w:rPr>
        <w:t>/# artic</w:t>
      </w:r>
      <w:r w:rsidRPr="00A12DF6">
        <w:rPr>
          <w:rFonts w:ascii="Times New Roman" w:hAnsi="Times New Roman" w:cs="Times New Roman"/>
          <w:sz w:val="24"/>
          <w:szCs w:val="24"/>
        </w:rPr>
        <w:t xml:space="preserve">le-17360. s4. </w:t>
      </w:r>
      <w:proofErr w:type="spellStart"/>
      <w:r w:rsidRPr="00A12DF6">
        <w:rPr>
          <w:rFonts w:ascii="Times New Roman" w:hAnsi="Times New Roman" w:cs="Times New Roman"/>
          <w:sz w:val="24"/>
          <w:szCs w:val="24"/>
        </w:rPr>
        <w:t>Viitattu</w:t>
      </w:r>
      <w:proofErr w:type="spellEnd"/>
      <w:r w:rsidRPr="00A12DF6">
        <w:rPr>
          <w:rFonts w:ascii="Times New Roman" w:hAnsi="Times New Roman" w:cs="Times New Roman"/>
          <w:sz w:val="24"/>
          <w:szCs w:val="24"/>
        </w:rPr>
        <w:t>.</w:t>
      </w:r>
    </w:p>
    <w:p w:rsidR="00A12DF6" w:rsidRPr="00A12DF6" w:rsidRDefault="00A12DF6" w:rsidP="00A12DF6">
      <w:pPr>
        <w:spacing w:line="480" w:lineRule="auto"/>
        <w:ind w:left="720" w:hanging="720"/>
        <w:rPr>
          <w:rFonts w:ascii="Times New Roman" w:hAnsi="Times New Roman" w:cs="Times New Roman"/>
          <w:sz w:val="24"/>
          <w:szCs w:val="24"/>
        </w:rPr>
      </w:pPr>
      <w:r w:rsidRPr="00A12DF6">
        <w:rPr>
          <w:rFonts w:ascii="Times New Roman" w:hAnsi="Times New Roman" w:cs="Times New Roman"/>
          <w:sz w:val="24"/>
          <w:szCs w:val="24"/>
        </w:rPr>
        <w:t>Kraut, J. A., &amp; Madias, N. E. (2017). Adverse effects of the metabolic acidosis of chronic kidney disease. Advances in chroni</w:t>
      </w:r>
      <w:r w:rsidRPr="00A12DF6">
        <w:rPr>
          <w:rFonts w:ascii="Times New Roman" w:hAnsi="Times New Roman" w:cs="Times New Roman"/>
          <w:sz w:val="24"/>
          <w:szCs w:val="24"/>
        </w:rPr>
        <w:t>c kidney disease</w:t>
      </w:r>
      <w:r w:rsidRPr="00A12DF6">
        <w:rPr>
          <w:rFonts w:ascii="Times New Roman" w:hAnsi="Times New Roman" w:cs="Times New Roman"/>
          <w:sz w:val="24"/>
          <w:szCs w:val="24"/>
        </w:rPr>
        <w:t>.</w:t>
      </w:r>
    </w:p>
    <w:p w:rsidR="00C354D9" w:rsidRPr="00A12DF6" w:rsidRDefault="00C354D9" w:rsidP="00A12DF6">
      <w:pPr>
        <w:spacing w:line="480" w:lineRule="auto"/>
        <w:rPr>
          <w:rFonts w:ascii="Times New Roman" w:hAnsi="Times New Roman" w:cs="Times New Roman"/>
          <w:sz w:val="24"/>
          <w:szCs w:val="24"/>
        </w:rPr>
      </w:pPr>
      <w:r w:rsidRPr="00A12DF6">
        <w:rPr>
          <w:rFonts w:ascii="Times New Roman" w:hAnsi="Times New Roman" w:cs="Times New Roman"/>
          <w:sz w:val="24"/>
          <w:szCs w:val="24"/>
        </w:rPr>
        <w:t xml:space="preserve">  </w:t>
      </w:r>
    </w:p>
    <w:p w:rsidR="000510EC" w:rsidRDefault="000510EC" w:rsidP="00A12DF6">
      <w:pPr>
        <w:spacing w:line="480" w:lineRule="auto"/>
        <w:rPr>
          <w:rFonts w:ascii="Times New Roman" w:hAnsi="Times New Roman" w:cs="Times New Roman"/>
          <w:sz w:val="24"/>
          <w:szCs w:val="24"/>
        </w:rPr>
      </w:pPr>
    </w:p>
    <w:p w:rsidR="0010038A" w:rsidRDefault="0010038A" w:rsidP="00A12DF6">
      <w:pPr>
        <w:spacing w:line="480" w:lineRule="auto"/>
        <w:rPr>
          <w:rFonts w:ascii="Times New Roman" w:hAnsi="Times New Roman" w:cs="Times New Roman"/>
          <w:sz w:val="24"/>
          <w:szCs w:val="24"/>
        </w:rPr>
      </w:pPr>
    </w:p>
    <w:p w:rsidR="0010038A" w:rsidRDefault="0010038A" w:rsidP="00A12DF6">
      <w:pPr>
        <w:spacing w:line="480" w:lineRule="auto"/>
        <w:rPr>
          <w:rFonts w:ascii="Times New Roman" w:hAnsi="Times New Roman" w:cs="Times New Roman"/>
          <w:sz w:val="24"/>
          <w:szCs w:val="24"/>
        </w:rPr>
      </w:pPr>
    </w:p>
    <w:p w:rsidR="0010038A" w:rsidRDefault="0010038A" w:rsidP="00A12DF6">
      <w:pPr>
        <w:spacing w:line="480" w:lineRule="auto"/>
        <w:rPr>
          <w:rFonts w:ascii="Times New Roman" w:hAnsi="Times New Roman" w:cs="Times New Roman"/>
          <w:sz w:val="24"/>
          <w:szCs w:val="24"/>
        </w:rPr>
      </w:pPr>
    </w:p>
    <w:p w:rsidR="0010038A" w:rsidRDefault="0010038A" w:rsidP="00A12DF6">
      <w:pPr>
        <w:spacing w:line="480" w:lineRule="auto"/>
        <w:rPr>
          <w:rFonts w:ascii="Times New Roman" w:hAnsi="Times New Roman" w:cs="Times New Roman"/>
          <w:sz w:val="24"/>
          <w:szCs w:val="24"/>
        </w:rPr>
      </w:pPr>
    </w:p>
    <w:p w:rsidR="0010038A" w:rsidRDefault="0010038A" w:rsidP="00A12DF6">
      <w:pPr>
        <w:spacing w:line="480" w:lineRule="auto"/>
        <w:rPr>
          <w:rFonts w:ascii="Times New Roman" w:hAnsi="Times New Roman" w:cs="Times New Roman"/>
          <w:sz w:val="24"/>
          <w:szCs w:val="24"/>
        </w:rPr>
      </w:pPr>
    </w:p>
    <w:p w:rsidR="0010038A" w:rsidRDefault="0010038A" w:rsidP="00A12DF6">
      <w:pPr>
        <w:spacing w:line="480" w:lineRule="auto"/>
        <w:rPr>
          <w:rFonts w:ascii="Times New Roman" w:hAnsi="Times New Roman" w:cs="Times New Roman"/>
          <w:sz w:val="24"/>
          <w:szCs w:val="24"/>
        </w:rPr>
      </w:pPr>
    </w:p>
    <w:p w:rsidR="0010038A" w:rsidRDefault="0010038A" w:rsidP="00A12DF6">
      <w:pPr>
        <w:spacing w:line="480" w:lineRule="auto"/>
        <w:rPr>
          <w:rFonts w:ascii="Times New Roman" w:hAnsi="Times New Roman" w:cs="Times New Roman"/>
          <w:sz w:val="24"/>
          <w:szCs w:val="24"/>
        </w:rPr>
      </w:pPr>
    </w:p>
    <w:p w:rsidR="0010038A" w:rsidRDefault="0010038A" w:rsidP="00A12DF6">
      <w:pPr>
        <w:spacing w:line="480" w:lineRule="auto"/>
        <w:rPr>
          <w:rFonts w:ascii="Times New Roman" w:hAnsi="Times New Roman" w:cs="Times New Roman"/>
          <w:sz w:val="24"/>
          <w:szCs w:val="24"/>
        </w:rPr>
      </w:pPr>
    </w:p>
    <w:p w:rsidR="0010038A" w:rsidRDefault="0010038A" w:rsidP="00A12DF6">
      <w:pPr>
        <w:spacing w:line="480" w:lineRule="auto"/>
        <w:rPr>
          <w:rFonts w:ascii="Times New Roman" w:hAnsi="Times New Roman" w:cs="Times New Roman"/>
          <w:sz w:val="24"/>
          <w:szCs w:val="24"/>
        </w:rPr>
      </w:pPr>
    </w:p>
    <w:p w:rsidR="0010038A" w:rsidRDefault="0010038A" w:rsidP="00A12DF6">
      <w:pPr>
        <w:spacing w:line="480" w:lineRule="auto"/>
        <w:rPr>
          <w:rFonts w:ascii="Times New Roman" w:hAnsi="Times New Roman" w:cs="Times New Roman"/>
          <w:sz w:val="24"/>
          <w:szCs w:val="24"/>
        </w:rPr>
      </w:pPr>
    </w:p>
    <w:p w:rsidR="0010038A" w:rsidRDefault="0010038A" w:rsidP="00A12DF6">
      <w:pPr>
        <w:spacing w:line="480" w:lineRule="auto"/>
        <w:rPr>
          <w:rFonts w:ascii="Times New Roman" w:hAnsi="Times New Roman" w:cs="Times New Roman"/>
          <w:sz w:val="24"/>
          <w:szCs w:val="24"/>
        </w:rPr>
      </w:pPr>
    </w:p>
    <w:p w:rsidR="0010038A" w:rsidRPr="00E013C6" w:rsidRDefault="0010038A" w:rsidP="0010038A">
      <w:pPr>
        <w:spacing w:line="480" w:lineRule="auto"/>
        <w:rPr>
          <w:rFonts w:ascii="Times New Roman" w:hAnsi="Times New Roman" w:cs="Times New Roman"/>
          <w:b/>
          <w:sz w:val="24"/>
          <w:szCs w:val="24"/>
        </w:rPr>
      </w:pPr>
      <w:r w:rsidRPr="00E013C6">
        <w:rPr>
          <w:rFonts w:ascii="Times New Roman" w:hAnsi="Times New Roman" w:cs="Times New Roman"/>
          <w:b/>
          <w:sz w:val="24"/>
          <w:szCs w:val="24"/>
        </w:rPr>
        <w:lastRenderedPageBreak/>
        <w:t>Discussion Prompt 2</w:t>
      </w:r>
    </w:p>
    <w:p w:rsidR="0010038A" w:rsidRPr="00E013C6" w:rsidRDefault="0010038A" w:rsidP="0010038A">
      <w:pPr>
        <w:spacing w:line="480" w:lineRule="auto"/>
        <w:ind w:firstLine="720"/>
        <w:rPr>
          <w:rFonts w:ascii="Times New Roman" w:hAnsi="Times New Roman" w:cs="Times New Roman"/>
          <w:sz w:val="24"/>
          <w:szCs w:val="24"/>
        </w:rPr>
      </w:pPr>
      <w:r w:rsidRPr="00E013C6">
        <w:rPr>
          <w:rFonts w:ascii="Times New Roman" w:hAnsi="Times New Roman" w:cs="Times New Roman"/>
          <w:sz w:val="24"/>
          <w:szCs w:val="24"/>
        </w:rPr>
        <w:t>BRCA is an abbreviation for Breast Cancer gene. BRCA and BRCA 2 are genes that influence a person's chances of acquiring breast cancer, and they are present in everybody's body. Breast Cancer genes are not causes of cancer; rather, they help in fighting breast cancer by repairing breaks in DNA that result in cancer and subsequently the development of tumors. Kuchenbaecker et.al (2017), states that when genes stop functioning properly, they result in gene mutation. Gene mutation means that genes are not able to mend broken DNA, and hence they cannot fight breast cancer. Gene mutation can be inherited from generation to generation. The risk of Breast Gene cancer is that whenever gene mutation occurs, there are high chances that cancer might start developing at an earlier stage. Women are likely to develop cancer of both breasts, and in case women with BRCA and BRCA 2 mutation fail to get breast cancer, the chances are that they might end up developing another cancer in their lifetime.</w:t>
      </w:r>
    </w:p>
    <w:p w:rsidR="0010038A" w:rsidRPr="00E013C6" w:rsidRDefault="0010038A" w:rsidP="0010038A">
      <w:pPr>
        <w:spacing w:line="480" w:lineRule="auto"/>
        <w:ind w:firstLine="720"/>
        <w:rPr>
          <w:rFonts w:ascii="Times New Roman" w:hAnsi="Times New Roman" w:cs="Times New Roman"/>
          <w:sz w:val="24"/>
          <w:szCs w:val="24"/>
        </w:rPr>
      </w:pPr>
      <w:r w:rsidRPr="00E013C6">
        <w:rPr>
          <w:rFonts w:ascii="Times New Roman" w:hAnsi="Times New Roman" w:cs="Times New Roman"/>
          <w:sz w:val="24"/>
          <w:szCs w:val="24"/>
        </w:rPr>
        <w:t>BRCA and BRCA 2 results in cell growth and cell division. When breast cancer is detected at early stages, it can be treated. The most common types of cancer-related to BRCA and BRCA 2 are ovarian and breast cancer, although gene mutation might expose people to other types of cancer such as prostate cancer which is most common among men. Persons whose family members have suffered from breast or ovarian cancer have high chances of experiencing gene mutation and hence acquiring breast or ovarian cancer. Recommended screenings for mutation include predictive and presymptomatic testing, which are tests carried to identify gene mutations linked with disorders that occur after birth. Predictive testing can detect variations that expose people to genetic disorders. Presymptomatic testing identify the chances of someone developing genetic disorders before signs and symptoms begin to develop (Tung &amp; Garber, 2018).</w:t>
      </w:r>
    </w:p>
    <w:p w:rsidR="0010038A" w:rsidRPr="00E013C6" w:rsidRDefault="0010038A" w:rsidP="0010038A">
      <w:pPr>
        <w:spacing w:line="480" w:lineRule="auto"/>
        <w:jc w:val="center"/>
        <w:rPr>
          <w:rFonts w:ascii="Times New Roman" w:hAnsi="Times New Roman" w:cs="Times New Roman"/>
          <w:sz w:val="24"/>
          <w:szCs w:val="24"/>
        </w:rPr>
      </w:pPr>
      <w:r w:rsidRPr="00E013C6">
        <w:rPr>
          <w:rFonts w:ascii="Times New Roman" w:hAnsi="Times New Roman" w:cs="Times New Roman"/>
          <w:sz w:val="24"/>
          <w:szCs w:val="24"/>
        </w:rPr>
        <w:lastRenderedPageBreak/>
        <w:t>References</w:t>
      </w:r>
    </w:p>
    <w:p w:rsidR="0010038A" w:rsidRPr="00E013C6" w:rsidRDefault="0010038A" w:rsidP="0010038A">
      <w:pPr>
        <w:spacing w:line="480" w:lineRule="auto"/>
        <w:ind w:left="720" w:hanging="720"/>
        <w:rPr>
          <w:rFonts w:ascii="Times New Roman" w:hAnsi="Times New Roman" w:cs="Times New Roman"/>
          <w:sz w:val="24"/>
          <w:szCs w:val="24"/>
        </w:rPr>
      </w:pPr>
      <w:r w:rsidRPr="00E013C6">
        <w:rPr>
          <w:rFonts w:ascii="Times New Roman" w:hAnsi="Times New Roman" w:cs="Times New Roman"/>
          <w:sz w:val="24"/>
          <w:szCs w:val="24"/>
        </w:rPr>
        <w:t xml:space="preserve">Kuchenbaecker, K. B., Hopper, J. L., Barnes, D. R., Phillips, K. A., </w:t>
      </w:r>
      <w:proofErr w:type="spellStart"/>
      <w:r w:rsidRPr="00E013C6">
        <w:rPr>
          <w:rFonts w:ascii="Times New Roman" w:hAnsi="Times New Roman" w:cs="Times New Roman"/>
          <w:sz w:val="24"/>
          <w:szCs w:val="24"/>
        </w:rPr>
        <w:t>Mooij</w:t>
      </w:r>
      <w:proofErr w:type="spellEnd"/>
      <w:r w:rsidRPr="00E013C6">
        <w:rPr>
          <w:rFonts w:ascii="Times New Roman" w:hAnsi="Times New Roman" w:cs="Times New Roman"/>
          <w:sz w:val="24"/>
          <w:szCs w:val="24"/>
        </w:rPr>
        <w:t xml:space="preserve">, T. M., </w:t>
      </w:r>
      <w:proofErr w:type="spellStart"/>
      <w:r w:rsidRPr="00E013C6">
        <w:rPr>
          <w:rFonts w:ascii="Times New Roman" w:hAnsi="Times New Roman" w:cs="Times New Roman"/>
          <w:sz w:val="24"/>
          <w:szCs w:val="24"/>
        </w:rPr>
        <w:t>Roos-Blom</w:t>
      </w:r>
      <w:proofErr w:type="spellEnd"/>
      <w:r w:rsidRPr="00E013C6">
        <w:rPr>
          <w:rFonts w:ascii="Times New Roman" w:hAnsi="Times New Roman" w:cs="Times New Roman"/>
          <w:sz w:val="24"/>
          <w:szCs w:val="24"/>
        </w:rPr>
        <w:t xml:space="preserve">, M. J., ... &amp; </w:t>
      </w:r>
      <w:proofErr w:type="spellStart"/>
      <w:r w:rsidRPr="00E013C6">
        <w:rPr>
          <w:rFonts w:ascii="Times New Roman" w:hAnsi="Times New Roman" w:cs="Times New Roman"/>
          <w:sz w:val="24"/>
          <w:szCs w:val="24"/>
        </w:rPr>
        <w:t>Goldgar</w:t>
      </w:r>
      <w:proofErr w:type="spellEnd"/>
      <w:r w:rsidRPr="00E013C6">
        <w:rPr>
          <w:rFonts w:ascii="Times New Roman" w:hAnsi="Times New Roman" w:cs="Times New Roman"/>
          <w:sz w:val="24"/>
          <w:szCs w:val="24"/>
        </w:rPr>
        <w:t xml:space="preserve">, D. E. (2017). Risks of breast, ovarian, and contralateral breast cancer for BRCA1 and BRCA2 mutation carriers. </w:t>
      </w:r>
      <w:proofErr w:type="spellStart"/>
      <w:r w:rsidRPr="00E013C6">
        <w:rPr>
          <w:rFonts w:ascii="Times New Roman" w:hAnsi="Times New Roman" w:cs="Times New Roman"/>
          <w:sz w:val="24"/>
          <w:szCs w:val="24"/>
        </w:rPr>
        <w:t>Jama</w:t>
      </w:r>
      <w:proofErr w:type="spellEnd"/>
      <w:r w:rsidRPr="00E013C6">
        <w:rPr>
          <w:rFonts w:ascii="Times New Roman" w:hAnsi="Times New Roman" w:cs="Times New Roman"/>
          <w:sz w:val="24"/>
          <w:szCs w:val="24"/>
        </w:rPr>
        <w:t>, 317(23), 2402-2416.</w:t>
      </w:r>
    </w:p>
    <w:p w:rsidR="0010038A" w:rsidRPr="00E013C6" w:rsidRDefault="0010038A" w:rsidP="0010038A">
      <w:pPr>
        <w:spacing w:line="480" w:lineRule="auto"/>
        <w:ind w:left="720" w:hanging="720"/>
        <w:rPr>
          <w:rFonts w:ascii="Times New Roman" w:hAnsi="Times New Roman" w:cs="Times New Roman"/>
          <w:sz w:val="24"/>
          <w:szCs w:val="24"/>
        </w:rPr>
      </w:pPr>
      <w:r w:rsidRPr="00E013C6">
        <w:rPr>
          <w:rFonts w:ascii="Times New Roman" w:hAnsi="Times New Roman" w:cs="Times New Roman"/>
          <w:sz w:val="24"/>
          <w:szCs w:val="24"/>
        </w:rPr>
        <w:t>Tung, N. M., &amp; Garber, J. E. (2018). BRCA 1/2 testing: therapeutic implications for breast cancer management. British journal of cancer, 119(2), 141.</w:t>
      </w:r>
    </w:p>
    <w:p w:rsidR="0010038A" w:rsidRPr="00A12DF6" w:rsidRDefault="0010038A" w:rsidP="00A12DF6">
      <w:pPr>
        <w:spacing w:line="480" w:lineRule="auto"/>
        <w:rPr>
          <w:rFonts w:ascii="Times New Roman" w:hAnsi="Times New Roman" w:cs="Times New Roman"/>
          <w:sz w:val="24"/>
          <w:szCs w:val="24"/>
        </w:rPr>
      </w:pPr>
    </w:p>
    <w:sectPr w:rsidR="0010038A" w:rsidRPr="00A12D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096C84"/>
    <w:multiLevelType w:val="hybridMultilevel"/>
    <w:tmpl w:val="96B29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0EC"/>
    <w:rsid w:val="000510EC"/>
    <w:rsid w:val="0010038A"/>
    <w:rsid w:val="002E6107"/>
    <w:rsid w:val="00712508"/>
    <w:rsid w:val="008037DF"/>
    <w:rsid w:val="008236F3"/>
    <w:rsid w:val="0087566A"/>
    <w:rsid w:val="00927E21"/>
    <w:rsid w:val="00A12DF6"/>
    <w:rsid w:val="00BD04A6"/>
    <w:rsid w:val="00C35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918130-5AC9-42B6-8F88-5A5951F64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10EC"/>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936542">
      <w:bodyDiv w:val="1"/>
      <w:marLeft w:val="0"/>
      <w:marRight w:val="0"/>
      <w:marTop w:val="0"/>
      <w:marBottom w:val="0"/>
      <w:divBdr>
        <w:top w:val="none" w:sz="0" w:space="0" w:color="auto"/>
        <w:left w:val="none" w:sz="0" w:space="0" w:color="auto"/>
        <w:bottom w:val="none" w:sz="0" w:space="0" w:color="auto"/>
        <w:right w:val="none" w:sz="0" w:space="0" w:color="auto"/>
      </w:divBdr>
      <w:divsChild>
        <w:div w:id="1077021467">
          <w:marLeft w:val="0"/>
          <w:marRight w:val="0"/>
          <w:marTop w:val="0"/>
          <w:marBottom w:val="0"/>
          <w:divBdr>
            <w:top w:val="none" w:sz="0" w:space="0" w:color="auto"/>
            <w:left w:val="none" w:sz="0" w:space="0" w:color="auto"/>
            <w:bottom w:val="none" w:sz="0" w:space="0" w:color="auto"/>
            <w:right w:val="none" w:sz="0" w:space="0" w:color="auto"/>
          </w:divBdr>
        </w:div>
      </w:divsChild>
    </w:div>
    <w:div w:id="1445154177">
      <w:bodyDiv w:val="1"/>
      <w:marLeft w:val="0"/>
      <w:marRight w:val="0"/>
      <w:marTop w:val="0"/>
      <w:marBottom w:val="0"/>
      <w:divBdr>
        <w:top w:val="none" w:sz="0" w:space="0" w:color="auto"/>
        <w:left w:val="none" w:sz="0" w:space="0" w:color="auto"/>
        <w:bottom w:val="none" w:sz="0" w:space="0" w:color="auto"/>
        <w:right w:val="none" w:sz="0" w:space="0" w:color="auto"/>
      </w:divBdr>
      <w:divsChild>
        <w:div w:id="12581768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737</Words>
  <Characters>4205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2020-03-11T20:09:00Z</dcterms:created>
  <dcterms:modified xsi:type="dcterms:W3CDTF">2020-03-11T20:09:00Z</dcterms:modified>
</cp:coreProperties>
</file>